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8E06" w14:textId="70C46FBB" w:rsidR="008E4228" w:rsidRDefault="00586472" w:rsidP="008E4228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C148263" wp14:editId="68AC39B0">
            <wp:simplePos x="0" y="0"/>
            <wp:positionH relativeFrom="page">
              <wp:posOffset>2700443</wp:posOffset>
            </wp:positionH>
            <wp:positionV relativeFrom="paragraph">
              <wp:posOffset>0</wp:posOffset>
            </wp:positionV>
            <wp:extent cx="2116455" cy="2116455"/>
            <wp:effectExtent l="0" t="0" r="4445" b="4445"/>
            <wp:wrapTopAndBottom/>
            <wp:docPr id="1" name="image1.p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F11E4" w14:textId="4373C89D" w:rsidR="006E4EB9" w:rsidRPr="008E4228" w:rsidRDefault="004F7F9F" w:rsidP="008E4228">
      <w:pPr>
        <w:jc w:val="center"/>
        <w:rPr>
          <w:b/>
          <w:bCs/>
          <w:sz w:val="28"/>
          <w:szCs w:val="28"/>
        </w:rPr>
      </w:pPr>
      <w:r w:rsidRPr="008E4228">
        <w:rPr>
          <w:b/>
          <w:bCs/>
          <w:sz w:val="28"/>
          <w:szCs w:val="28"/>
        </w:rPr>
        <w:t>Role Profile</w:t>
      </w:r>
      <w:r w:rsidR="00A53A25" w:rsidRPr="008E4228">
        <w:rPr>
          <w:b/>
          <w:bCs/>
          <w:sz w:val="28"/>
          <w:szCs w:val="28"/>
        </w:rPr>
        <w:t xml:space="preserve"> &amp; Person Specification for </w:t>
      </w:r>
      <w:r w:rsidR="00180CEC">
        <w:rPr>
          <w:b/>
          <w:bCs/>
          <w:sz w:val="28"/>
          <w:szCs w:val="28"/>
        </w:rPr>
        <w:t xml:space="preserve">General Charity </w:t>
      </w:r>
      <w:r w:rsidR="00586472" w:rsidRPr="008E4228">
        <w:rPr>
          <w:b/>
          <w:bCs/>
          <w:sz w:val="28"/>
          <w:szCs w:val="28"/>
        </w:rPr>
        <w:t>Trustees</w:t>
      </w:r>
    </w:p>
    <w:p w14:paraId="2B53B3FD" w14:textId="77777777" w:rsidR="00D052C6" w:rsidRDefault="00D052C6" w:rsidP="00D052C6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048F51" w14:textId="77777777" w:rsidR="002808DC" w:rsidRDefault="002808DC" w:rsidP="00D052C6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Background / context</w:t>
      </w:r>
    </w:p>
    <w:p w14:paraId="5891A9AB" w14:textId="66A9293E" w:rsidR="00D052C6" w:rsidRPr="00D052C6" w:rsidRDefault="002808DC" w:rsidP="00D0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 accordance with the Scottish Council for Voluntary Organisation’s guidelines, our trustees </w:t>
      </w:r>
      <w:r w:rsidR="00D052C6"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are there to lead, control and supervise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our </w:t>
      </w:r>
      <w:r w:rsidR="00D052C6"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activities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as an organisation</w:t>
      </w:r>
      <w:r w:rsidR="00D052C6"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All of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our trustees are expected to </w:t>
      </w:r>
      <w:proofErr w:type="gramStart"/>
      <w:r w:rsidR="00D052C6"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act in the best interests of the organisation and its beneficiaries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at all times</w:t>
      </w:r>
      <w:proofErr w:type="gramEnd"/>
      <w:r w:rsidR="00D052C6"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following requirements of law and regulation. To enable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us</w:t>
      </w:r>
      <w:r w:rsidR="00D052C6"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 meet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our </w:t>
      </w:r>
      <w:r w:rsidR="00D052C6"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aims,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our </w:t>
      </w:r>
      <w:r w:rsidR="00D052C6"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trustees should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collectively </w:t>
      </w:r>
      <w:r w:rsidR="00D052C6"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perform the following functions:</w:t>
      </w:r>
    </w:p>
    <w:p w14:paraId="6726F3F0" w14:textId="376960C0" w:rsidR="00D052C6" w:rsidRPr="00D052C6" w:rsidRDefault="00D052C6" w:rsidP="00D05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Set and maintain the vision, mission and values of the organisation</w:t>
      </w:r>
    </w:p>
    <w:p w14:paraId="5C6930D4" w14:textId="02A01B46" w:rsidR="00D052C6" w:rsidRPr="00D052C6" w:rsidRDefault="00D052C6" w:rsidP="00D05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Develop direction, strategy and planning</w:t>
      </w:r>
    </w:p>
    <w:p w14:paraId="4A830B68" w14:textId="5343078C" w:rsidR="00D052C6" w:rsidRPr="00D052C6" w:rsidRDefault="00D052C6" w:rsidP="00D05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Ensure the organisation has the structure and resources for its work</w:t>
      </w:r>
    </w:p>
    <w:p w14:paraId="20597F2F" w14:textId="4D856BC4" w:rsidR="00D052C6" w:rsidRPr="00D052C6" w:rsidRDefault="00D052C6" w:rsidP="00D05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Establish policies and procedures to govern organisational activity, including guidance for the board, volunteers and staff</w:t>
      </w:r>
    </w:p>
    <w:p w14:paraId="2470DEDB" w14:textId="128409E2" w:rsidR="00D052C6" w:rsidRPr="00D052C6" w:rsidRDefault="00D052C6" w:rsidP="00D05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Establish systems for reporting and monitoring</w:t>
      </w:r>
    </w:p>
    <w:p w14:paraId="1922348E" w14:textId="6E7BE81C" w:rsidR="00D052C6" w:rsidRPr="00D052C6" w:rsidRDefault="00D052C6" w:rsidP="00D05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Manage risk and ensure compliance and accountability with the governing document, external regulators and the law</w:t>
      </w:r>
    </w:p>
    <w:p w14:paraId="5046D984" w14:textId="77777777" w:rsidR="00D052C6" w:rsidRPr="00D052C6" w:rsidRDefault="00D052C6" w:rsidP="00D052C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052C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Make certain that the financial affairs of the organisation are conducted properly and are accurately reported.</w:t>
      </w:r>
    </w:p>
    <w:p w14:paraId="512E84B9" w14:textId="3732E0F9" w:rsidR="008E4228" w:rsidRDefault="008E4228" w:rsidP="00D052C6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5ED8F18" w14:textId="75974F00" w:rsidR="00D052C6" w:rsidRDefault="00D052C6" w:rsidP="00CB622F">
      <w:pPr>
        <w:spacing w:after="0"/>
        <w:rPr>
          <w:rFonts w:cstheme="minorHAnsi"/>
          <w:b/>
          <w:bCs/>
          <w:sz w:val="24"/>
          <w:szCs w:val="24"/>
        </w:rPr>
      </w:pPr>
    </w:p>
    <w:p w14:paraId="112FD6AC" w14:textId="78FE6BC1" w:rsidR="008E4228" w:rsidRDefault="002808DC" w:rsidP="00CB622F">
      <w:pPr>
        <w:spacing w:after="0"/>
        <w:rPr>
          <w:rFonts w:cstheme="minorHAnsi"/>
          <w:b/>
          <w:bCs/>
          <w:sz w:val="24"/>
          <w:szCs w:val="24"/>
        </w:rPr>
      </w:pPr>
      <w:r w:rsidRPr="002808DC">
        <w:rPr>
          <w:rFonts w:cstheme="minorHAnsi"/>
          <w:b/>
          <w:bCs/>
          <w:sz w:val="24"/>
          <w:szCs w:val="24"/>
        </w:rPr>
        <w:t xml:space="preserve">Specific </w:t>
      </w:r>
      <w:r w:rsidR="008E4228" w:rsidRPr="002808DC">
        <w:rPr>
          <w:rFonts w:cstheme="minorHAnsi"/>
          <w:b/>
          <w:bCs/>
          <w:sz w:val="24"/>
          <w:szCs w:val="24"/>
        </w:rPr>
        <w:t>accountabilities</w:t>
      </w:r>
      <w:r w:rsidR="00F57678">
        <w:rPr>
          <w:rFonts w:cstheme="minorHAnsi"/>
          <w:b/>
          <w:bCs/>
          <w:sz w:val="24"/>
          <w:szCs w:val="24"/>
        </w:rPr>
        <w:t xml:space="preserve"> </w:t>
      </w:r>
      <w:r w:rsidRPr="002808DC">
        <w:rPr>
          <w:rFonts w:cstheme="minorHAnsi"/>
          <w:b/>
          <w:bCs/>
          <w:sz w:val="24"/>
          <w:szCs w:val="24"/>
        </w:rPr>
        <w:t xml:space="preserve">for the </w:t>
      </w:r>
      <w:r w:rsidR="00D37234">
        <w:rPr>
          <w:rFonts w:cstheme="minorHAnsi"/>
          <w:b/>
          <w:bCs/>
          <w:sz w:val="24"/>
          <w:szCs w:val="24"/>
        </w:rPr>
        <w:t>role of General Trustee</w:t>
      </w:r>
    </w:p>
    <w:p w14:paraId="5378C7B8" w14:textId="5B92BA61" w:rsidR="00F57678" w:rsidRDefault="00F57678" w:rsidP="00CB622F">
      <w:pPr>
        <w:spacing w:after="0"/>
        <w:rPr>
          <w:rFonts w:cstheme="minorHAnsi"/>
          <w:b/>
          <w:bCs/>
          <w:sz w:val="24"/>
          <w:szCs w:val="24"/>
        </w:rPr>
      </w:pPr>
    </w:p>
    <w:p w14:paraId="061ADC58" w14:textId="77777777" w:rsidR="00F57678" w:rsidRPr="003068EC" w:rsidRDefault="00F57678" w:rsidP="00F57678">
      <w:pPr>
        <w:spacing w:after="0"/>
        <w:jc w:val="both"/>
        <w:rPr>
          <w:rFonts w:cstheme="minorHAnsi"/>
          <w:sz w:val="24"/>
          <w:szCs w:val="24"/>
        </w:rPr>
      </w:pPr>
      <w:r w:rsidRPr="003068EC">
        <w:rPr>
          <w:rFonts w:cstheme="minorHAnsi"/>
          <w:sz w:val="24"/>
          <w:szCs w:val="24"/>
        </w:rPr>
        <w:t>Participation in board meetings and communication with the Charity CEO and other board members between meetings as required to ensure due diligence in financial management and decision making</w:t>
      </w:r>
      <w:r>
        <w:rPr>
          <w:rFonts w:cstheme="minorHAnsi"/>
          <w:sz w:val="24"/>
          <w:szCs w:val="24"/>
        </w:rPr>
        <w:t>:</w:t>
      </w:r>
      <w:r w:rsidRPr="003068EC">
        <w:rPr>
          <w:rFonts w:cstheme="minorHAnsi"/>
          <w:sz w:val="24"/>
          <w:szCs w:val="24"/>
        </w:rPr>
        <w:t xml:space="preserve">   </w:t>
      </w:r>
    </w:p>
    <w:p w14:paraId="4F83D151" w14:textId="4D4A0652" w:rsidR="00F57678" w:rsidRPr="008E4228" w:rsidRDefault="00F57678" w:rsidP="00F5767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8E4228">
        <w:rPr>
          <w:rFonts w:cstheme="minorHAnsi"/>
          <w:sz w:val="24"/>
          <w:szCs w:val="24"/>
        </w:rPr>
        <w:t>4 x trustee meetings each year, plus the A</w:t>
      </w:r>
      <w:r w:rsidR="00CC17E6">
        <w:rPr>
          <w:rFonts w:cstheme="minorHAnsi"/>
          <w:sz w:val="24"/>
          <w:szCs w:val="24"/>
        </w:rPr>
        <w:t xml:space="preserve">nnual </w:t>
      </w:r>
      <w:r w:rsidRPr="008E4228">
        <w:rPr>
          <w:rFonts w:cstheme="minorHAnsi"/>
          <w:sz w:val="24"/>
          <w:szCs w:val="24"/>
        </w:rPr>
        <w:t>G</w:t>
      </w:r>
      <w:r w:rsidR="00CC17E6">
        <w:rPr>
          <w:rFonts w:cstheme="minorHAnsi"/>
          <w:sz w:val="24"/>
          <w:szCs w:val="24"/>
        </w:rPr>
        <w:t xml:space="preserve">eneral </w:t>
      </w:r>
      <w:r w:rsidRPr="008E4228">
        <w:rPr>
          <w:rFonts w:cstheme="minorHAnsi"/>
          <w:sz w:val="24"/>
          <w:szCs w:val="24"/>
        </w:rPr>
        <w:t>M</w:t>
      </w:r>
      <w:r w:rsidR="00CC17E6">
        <w:rPr>
          <w:rFonts w:cstheme="minorHAnsi"/>
          <w:sz w:val="24"/>
          <w:szCs w:val="24"/>
        </w:rPr>
        <w:t>eeting</w:t>
      </w:r>
    </w:p>
    <w:p w14:paraId="0F01F6DB" w14:textId="0F8A7380" w:rsidR="00F57678" w:rsidRPr="00F37FA7" w:rsidRDefault="00F57678" w:rsidP="00F5767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Completion of agreed </w:t>
      </w:r>
      <w:r w:rsidRPr="008E4228">
        <w:rPr>
          <w:sz w:val="24"/>
          <w:szCs w:val="24"/>
        </w:rPr>
        <w:t xml:space="preserve">actions </w:t>
      </w:r>
      <w:r>
        <w:rPr>
          <w:sz w:val="24"/>
          <w:szCs w:val="24"/>
        </w:rPr>
        <w:t>arising from board meetings</w:t>
      </w:r>
      <w:r w:rsidRPr="008E4228">
        <w:rPr>
          <w:sz w:val="24"/>
          <w:szCs w:val="24"/>
        </w:rPr>
        <w:t xml:space="preserve"> </w:t>
      </w:r>
    </w:p>
    <w:p w14:paraId="5967EEA6" w14:textId="77777777" w:rsidR="00F57678" w:rsidRPr="00B90668" w:rsidRDefault="00F57678" w:rsidP="00F5767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Contribute to the development of </w:t>
      </w:r>
      <w:r w:rsidRPr="00F37FA7">
        <w:rPr>
          <w:sz w:val="24"/>
          <w:szCs w:val="24"/>
        </w:rPr>
        <w:t>an ethical culture in line with the values of the organisation.</w:t>
      </w:r>
    </w:p>
    <w:p w14:paraId="27050198" w14:textId="34295737" w:rsidR="00F57678" w:rsidRDefault="00F57678" w:rsidP="00CB622F">
      <w:pPr>
        <w:spacing w:after="0"/>
        <w:rPr>
          <w:rFonts w:cstheme="minorHAnsi"/>
          <w:sz w:val="24"/>
          <w:szCs w:val="24"/>
        </w:rPr>
      </w:pPr>
      <w:r w:rsidRPr="00F57678">
        <w:rPr>
          <w:rFonts w:cstheme="minorHAnsi"/>
          <w:sz w:val="24"/>
          <w:szCs w:val="24"/>
        </w:rPr>
        <w:t>In addition</w:t>
      </w:r>
      <w:r>
        <w:rPr>
          <w:rFonts w:cstheme="minorHAnsi"/>
          <w:sz w:val="24"/>
          <w:szCs w:val="24"/>
        </w:rPr>
        <w:t xml:space="preserve">, trustees will agree accountability with the Charity CEO, chair and wider board for </w:t>
      </w:r>
      <w:r w:rsidRPr="00CC17E6">
        <w:rPr>
          <w:rFonts w:cstheme="minorHAnsi"/>
          <w:b/>
          <w:bCs/>
          <w:sz w:val="24"/>
          <w:szCs w:val="24"/>
        </w:rPr>
        <w:t>one or more of the following</w:t>
      </w:r>
      <w:r>
        <w:rPr>
          <w:rFonts w:cstheme="minorHAnsi"/>
          <w:sz w:val="24"/>
          <w:szCs w:val="24"/>
        </w:rPr>
        <w:t xml:space="preserve"> - dependent on the skills, experience and interest of individual board members along with the needs of the Charity: </w:t>
      </w:r>
      <w:r w:rsidRPr="00F57678">
        <w:rPr>
          <w:rFonts w:cstheme="minorHAnsi"/>
          <w:sz w:val="24"/>
          <w:szCs w:val="24"/>
        </w:rPr>
        <w:t xml:space="preserve"> </w:t>
      </w:r>
    </w:p>
    <w:p w14:paraId="2D237A63" w14:textId="451B0480" w:rsidR="00F57678" w:rsidRDefault="00F57678" w:rsidP="00CB622F">
      <w:pPr>
        <w:spacing w:after="0"/>
        <w:rPr>
          <w:rFonts w:cstheme="minorHAnsi"/>
          <w:sz w:val="24"/>
          <w:szCs w:val="24"/>
        </w:rPr>
      </w:pPr>
    </w:p>
    <w:p w14:paraId="388888DA" w14:textId="20EA4048" w:rsidR="00F57678" w:rsidRDefault="00CC17E6" w:rsidP="00F57678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Fund raising from a range of sources such as Trusts and Foundations, statutory source, individuals, community groups and events </w:t>
      </w:r>
    </w:p>
    <w:p w14:paraId="585BA459" w14:textId="732BCDDA" w:rsidR="003F0CDB" w:rsidRDefault="003F0CDB" w:rsidP="00F57678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Donation generation </w:t>
      </w:r>
    </w:p>
    <w:p w14:paraId="649869EC" w14:textId="67AD3423" w:rsidR="00EC3C49" w:rsidRDefault="00EC3C49" w:rsidP="00F57678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National and local voluntary sector</w:t>
      </w:r>
    </w:p>
    <w:p w14:paraId="7AB60624" w14:textId="274922CB" w:rsidR="00EC3C49" w:rsidRDefault="00EC3C49" w:rsidP="00F57678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Digital strategy</w:t>
      </w:r>
    </w:p>
    <w:p w14:paraId="0AD18BD5" w14:textId="74674569" w:rsidR="00EC3C49" w:rsidRDefault="00EC3C49" w:rsidP="00F57678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Volunteer strategy </w:t>
      </w:r>
    </w:p>
    <w:p w14:paraId="2030FD69" w14:textId="4A3F7E70" w:rsidR="00D37234" w:rsidRDefault="00EC3C49" w:rsidP="00EC3C49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Social investment and impact  </w:t>
      </w:r>
    </w:p>
    <w:p w14:paraId="00E277AB" w14:textId="3840FFE8" w:rsidR="00EC3C49" w:rsidRDefault="00EC3C49" w:rsidP="00EC3C49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Strategy and planning</w:t>
      </w:r>
    </w:p>
    <w:p w14:paraId="30A6471E" w14:textId="3EC5007F" w:rsidR="00EC3C49" w:rsidRDefault="00EC3C49" w:rsidP="00EC3C49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Corporate responsibility and networking</w:t>
      </w:r>
    </w:p>
    <w:p w14:paraId="26B0EBCB" w14:textId="039374D1" w:rsidR="00EC3C49" w:rsidRPr="00EC3C49" w:rsidRDefault="00EC3C49" w:rsidP="00EC3C49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Communications</w:t>
      </w:r>
    </w:p>
    <w:p w14:paraId="5CC9AAF8" w14:textId="3FB0E674" w:rsidR="00D37234" w:rsidRDefault="00D37234" w:rsidP="00F57678">
      <w:pPr>
        <w:spacing w:after="0"/>
        <w:rPr>
          <w:rFonts w:cstheme="minorHAnsi"/>
          <w:b/>
          <w:bCs/>
          <w:sz w:val="24"/>
          <w:szCs w:val="24"/>
        </w:rPr>
      </w:pPr>
    </w:p>
    <w:p w14:paraId="0085C6D6" w14:textId="079CF868" w:rsidR="00D37234" w:rsidRDefault="00D37234" w:rsidP="00F57678">
      <w:pPr>
        <w:spacing w:after="0"/>
        <w:rPr>
          <w:rFonts w:cstheme="minorHAnsi"/>
          <w:b/>
          <w:bCs/>
          <w:sz w:val="24"/>
          <w:szCs w:val="24"/>
        </w:rPr>
      </w:pPr>
    </w:p>
    <w:p w14:paraId="3CB7A9C5" w14:textId="77777777" w:rsidR="003F0CDB" w:rsidRDefault="003F0CDB" w:rsidP="006132C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B520BD4" w14:textId="4AF539CF" w:rsidR="001D16E5" w:rsidRDefault="001D16E5" w:rsidP="006132C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E4228">
        <w:rPr>
          <w:rFonts w:cstheme="minorHAnsi"/>
          <w:b/>
          <w:bCs/>
          <w:sz w:val="24"/>
          <w:szCs w:val="24"/>
        </w:rPr>
        <w:t>Person Specification</w:t>
      </w:r>
    </w:p>
    <w:p w14:paraId="51785C2C" w14:textId="65C89573" w:rsidR="00180CEC" w:rsidRPr="004B795F" w:rsidRDefault="00180CEC" w:rsidP="004B795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80CEC">
        <w:rPr>
          <w:rFonts w:eastAsia="Times New Roman" w:cstheme="minorHAnsi"/>
          <w:sz w:val="24"/>
          <w:szCs w:val="24"/>
          <w:lang w:eastAsia="en-GB"/>
        </w:rPr>
        <w:t>The following characteristics, knowledge and experience would be advantageous</w:t>
      </w:r>
      <w:r w:rsidR="00CC17E6">
        <w:rPr>
          <w:rFonts w:eastAsia="Times New Roman" w:cstheme="minorHAnsi"/>
          <w:sz w:val="24"/>
          <w:szCs w:val="24"/>
          <w:lang w:eastAsia="en-GB"/>
        </w:rPr>
        <w:t xml:space="preserve"> but are not essential unless indicated, and we would welcome applications from those willing to develop into the role</w:t>
      </w:r>
      <w:r w:rsidRPr="00180CEC">
        <w:rPr>
          <w:rFonts w:eastAsia="Times New Roman" w:cstheme="minorHAnsi"/>
          <w:sz w:val="24"/>
          <w:szCs w:val="24"/>
          <w:lang w:eastAsia="en-GB"/>
        </w:rPr>
        <w:t xml:space="preserve">: </w:t>
      </w:r>
    </w:p>
    <w:p w14:paraId="0C09F5F7" w14:textId="5630C463" w:rsidR="00354756" w:rsidRDefault="00CC17E6" w:rsidP="006132C5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180CEC">
        <w:rPr>
          <w:rFonts w:cstheme="minorHAnsi"/>
          <w:sz w:val="24"/>
          <w:szCs w:val="24"/>
        </w:rPr>
        <w:t>commitment to the values of Dignity Boxes</w:t>
      </w:r>
      <w:r>
        <w:rPr>
          <w:rFonts w:cstheme="minorHAnsi"/>
          <w:sz w:val="24"/>
          <w:szCs w:val="24"/>
        </w:rPr>
        <w:t xml:space="preserve"> (essential)</w:t>
      </w:r>
      <w:r w:rsidR="00180CEC">
        <w:rPr>
          <w:rFonts w:cstheme="minorHAnsi"/>
          <w:sz w:val="24"/>
          <w:szCs w:val="24"/>
        </w:rPr>
        <w:t xml:space="preserve"> </w:t>
      </w:r>
    </w:p>
    <w:p w14:paraId="27EAE53B" w14:textId="056AF7BD" w:rsidR="00CC17E6" w:rsidRPr="00CC17E6" w:rsidRDefault="00CC17E6" w:rsidP="00CC17E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E4228">
        <w:rPr>
          <w:rFonts w:cstheme="minorHAnsi"/>
          <w:sz w:val="24"/>
          <w:szCs w:val="24"/>
        </w:rPr>
        <w:t>Knowledge of the charity sector</w:t>
      </w:r>
      <w:r>
        <w:rPr>
          <w:rFonts w:cstheme="minorHAnsi"/>
          <w:sz w:val="24"/>
          <w:szCs w:val="24"/>
        </w:rPr>
        <w:t xml:space="preserve"> </w:t>
      </w:r>
    </w:p>
    <w:p w14:paraId="5559F55B" w14:textId="49D1251F" w:rsidR="00180CEC" w:rsidRDefault="00180CEC" w:rsidP="006132C5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Strong business acumen</w:t>
      </w:r>
    </w:p>
    <w:p w14:paraId="5977EA8C" w14:textId="09739FA0" w:rsidR="00180CEC" w:rsidRPr="00180CEC" w:rsidRDefault="00180CEC" w:rsidP="00180CEC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E4228">
        <w:rPr>
          <w:rFonts w:cstheme="minorHAnsi"/>
          <w:sz w:val="24"/>
          <w:szCs w:val="24"/>
        </w:rPr>
        <w:t xml:space="preserve">Experience of fund </w:t>
      </w:r>
      <w:r>
        <w:rPr>
          <w:rFonts w:cstheme="minorHAnsi"/>
          <w:sz w:val="24"/>
          <w:szCs w:val="24"/>
        </w:rPr>
        <w:t>raising</w:t>
      </w:r>
      <w:r w:rsidR="004B795F">
        <w:rPr>
          <w:rFonts w:cstheme="minorHAnsi"/>
          <w:sz w:val="24"/>
          <w:szCs w:val="24"/>
        </w:rPr>
        <w:t xml:space="preserve"> (we would like to recruit at least one person onto the board with this as a specialism)</w:t>
      </w:r>
      <w:r w:rsidRPr="008E4228">
        <w:rPr>
          <w:rFonts w:cstheme="minorHAnsi"/>
          <w:sz w:val="24"/>
          <w:szCs w:val="24"/>
        </w:rPr>
        <w:t xml:space="preserve"> </w:t>
      </w:r>
    </w:p>
    <w:p w14:paraId="10288C6C" w14:textId="1FDA8647" w:rsidR="00D27539" w:rsidRDefault="00EE5C9C" w:rsidP="006132C5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E4228">
        <w:rPr>
          <w:rFonts w:cstheme="minorHAnsi"/>
          <w:sz w:val="24"/>
          <w:szCs w:val="24"/>
        </w:rPr>
        <w:t>Strategic thinker</w:t>
      </w:r>
    </w:p>
    <w:p w14:paraId="37E56631" w14:textId="65F783ED" w:rsidR="00180CEC" w:rsidRDefault="00CC17E6" w:rsidP="006132C5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u</w:t>
      </w:r>
      <w:r w:rsidR="00180CEC">
        <w:rPr>
          <w:rFonts w:cstheme="minorHAnsi"/>
          <w:sz w:val="24"/>
          <w:szCs w:val="24"/>
        </w:rPr>
        <w:t>nderstanding and acceptance of the legal duties and responsibilities of trustees</w:t>
      </w:r>
      <w:r>
        <w:rPr>
          <w:rFonts w:cstheme="minorHAnsi"/>
          <w:sz w:val="24"/>
          <w:szCs w:val="24"/>
        </w:rPr>
        <w:t xml:space="preserve"> (essential)</w:t>
      </w:r>
    </w:p>
    <w:p w14:paraId="1C5CCDAE" w14:textId="0755EA43" w:rsidR="00180CEC" w:rsidRDefault="00CC17E6" w:rsidP="006132C5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Good i</w:t>
      </w:r>
      <w:r w:rsidR="00180CEC">
        <w:rPr>
          <w:rFonts w:cstheme="minorHAnsi"/>
          <w:sz w:val="24"/>
          <w:szCs w:val="24"/>
        </w:rPr>
        <w:t xml:space="preserve">nterpersonal and communication skills </w:t>
      </w:r>
      <w:r>
        <w:rPr>
          <w:rFonts w:cstheme="minorHAnsi"/>
          <w:sz w:val="24"/>
          <w:szCs w:val="24"/>
        </w:rPr>
        <w:t>(essential)</w:t>
      </w:r>
    </w:p>
    <w:p w14:paraId="76F882A5" w14:textId="65F5A319" w:rsidR="00180CEC" w:rsidRPr="008E4228" w:rsidRDefault="00180CEC" w:rsidP="006132C5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Experience of committee work</w:t>
      </w:r>
    </w:p>
    <w:p w14:paraId="2E05F033" w14:textId="08121B21" w:rsidR="00180CEC" w:rsidRPr="00CC17E6" w:rsidRDefault="002D2D83" w:rsidP="00CC17E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E4228">
        <w:rPr>
          <w:rFonts w:cstheme="minorHAnsi"/>
          <w:sz w:val="24"/>
          <w:szCs w:val="24"/>
        </w:rPr>
        <w:t>Approachable nature with strong e</w:t>
      </w:r>
      <w:r w:rsidR="00E547FD" w:rsidRPr="008E4228">
        <w:rPr>
          <w:rFonts w:cstheme="minorHAnsi"/>
          <w:sz w:val="24"/>
          <w:szCs w:val="24"/>
        </w:rPr>
        <w:t>thical values</w:t>
      </w:r>
      <w:r w:rsidRPr="008E4228">
        <w:rPr>
          <w:rFonts w:cstheme="minorHAnsi"/>
          <w:sz w:val="24"/>
          <w:szCs w:val="24"/>
        </w:rPr>
        <w:t xml:space="preserve"> </w:t>
      </w:r>
      <w:r w:rsidR="00CC17E6">
        <w:rPr>
          <w:rFonts w:cstheme="minorHAnsi"/>
          <w:sz w:val="24"/>
          <w:szCs w:val="24"/>
        </w:rPr>
        <w:t>(essential)</w:t>
      </w:r>
    </w:p>
    <w:p w14:paraId="64D30D7E" w14:textId="71D01A6D" w:rsidR="005C6547" w:rsidRDefault="00180CEC" w:rsidP="006132C5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Lived experience of poverty</w:t>
      </w:r>
    </w:p>
    <w:p w14:paraId="7FFBD6C6" w14:textId="5115BBC4" w:rsidR="00180CEC" w:rsidRDefault="00180CEC" w:rsidP="004B795F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E4228">
        <w:rPr>
          <w:rFonts w:cstheme="minorHAnsi"/>
          <w:sz w:val="24"/>
          <w:szCs w:val="24"/>
        </w:rPr>
        <w:t>Good network of contacts in Edinburgh</w:t>
      </w:r>
      <w:r w:rsidR="00CC17E6">
        <w:rPr>
          <w:rFonts w:cstheme="minorHAnsi"/>
          <w:sz w:val="24"/>
          <w:szCs w:val="24"/>
        </w:rPr>
        <w:t xml:space="preserve">, </w:t>
      </w:r>
      <w:r w:rsidRPr="008E4228">
        <w:rPr>
          <w:rFonts w:cstheme="minorHAnsi"/>
          <w:sz w:val="24"/>
          <w:szCs w:val="24"/>
        </w:rPr>
        <w:t>the Lothians</w:t>
      </w:r>
      <w:r w:rsidR="00CC17E6">
        <w:rPr>
          <w:rFonts w:cstheme="minorHAnsi"/>
          <w:sz w:val="24"/>
          <w:szCs w:val="24"/>
        </w:rPr>
        <w:t xml:space="preserve"> and beyond</w:t>
      </w:r>
      <w:r w:rsidR="004B795F">
        <w:rPr>
          <w:rFonts w:cstheme="minorHAnsi"/>
          <w:sz w:val="24"/>
          <w:szCs w:val="24"/>
        </w:rPr>
        <w:t>.</w:t>
      </w:r>
    </w:p>
    <w:p w14:paraId="13E1B0F2" w14:textId="77777777" w:rsidR="007F5719" w:rsidRDefault="007F5719" w:rsidP="007F5719">
      <w:pPr>
        <w:spacing w:after="0"/>
        <w:jc w:val="both"/>
        <w:rPr>
          <w:rFonts w:cstheme="minorHAnsi"/>
          <w:sz w:val="24"/>
          <w:szCs w:val="24"/>
        </w:rPr>
      </w:pPr>
    </w:p>
    <w:p w14:paraId="2B422636" w14:textId="77777777" w:rsidR="007F5719" w:rsidRPr="00FB574A" w:rsidRDefault="007F5719" w:rsidP="007F57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Application Process:</w:t>
      </w:r>
    </w:p>
    <w:p w14:paraId="23C0B724" w14:textId="4F0513BD" w:rsidR="007F5719" w:rsidRDefault="007F5719" w:rsidP="007F57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 xml:space="preserve">Interested candidates are invited to submit their CV and a cover letter outlining their relevant experience and why they are passionate about joining Dignity Boxes to </w:t>
      </w:r>
      <w:hyperlink r:id="rId6" w:history="1">
        <w:r w:rsidR="00090CF0">
          <w:rPr>
            <w:rStyle w:val="Hyperlink"/>
            <w:rFonts w:eastAsia="Times New Roman" w:cstheme="minorHAnsi"/>
            <w:sz w:val="24"/>
            <w:szCs w:val="24"/>
            <w:lang w:eastAsia="en-GB"/>
          </w:rPr>
          <w:t>nick@dignityboxes.co.uk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B574A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33EAB88" w14:textId="4CF90BAB" w:rsidR="007F5719" w:rsidRPr="00FB574A" w:rsidRDefault="007F5719" w:rsidP="007F57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E2A3D">
        <w:rPr>
          <w:rFonts w:eastAsia="Times New Roman" w:cstheme="minorHAnsi"/>
          <w:b/>
          <w:bCs/>
          <w:sz w:val="24"/>
          <w:szCs w:val="24"/>
          <w:lang w:eastAsia="en-GB"/>
        </w:rPr>
        <w:t>Application deadline: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090CF0">
        <w:rPr>
          <w:rFonts w:eastAsia="Times New Roman" w:cstheme="minorHAnsi"/>
          <w:sz w:val="24"/>
          <w:szCs w:val="24"/>
          <w:lang w:eastAsia="en-GB"/>
        </w:rPr>
        <w:t>30/01/2026</w:t>
      </w:r>
    </w:p>
    <w:p w14:paraId="064756E1" w14:textId="77777777" w:rsidR="007F5719" w:rsidRPr="00FB574A" w:rsidRDefault="007F5719" w:rsidP="007F57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Dignity Boxes welcomes applicants from all backgrounds.</w:t>
      </w:r>
    </w:p>
    <w:p w14:paraId="79DC9A60" w14:textId="77777777" w:rsidR="007F5719" w:rsidRPr="00FB574A" w:rsidRDefault="007F5719" w:rsidP="007F57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Join us in making a difference in the lives of those in need by ensuring everyone has access to basic hygiene products with dignity and respect.</w:t>
      </w:r>
    </w:p>
    <w:p w14:paraId="1F1B4E43" w14:textId="77777777" w:rsidR="007F5719" w:rsidRPr="00FB574A" w:rsidRDefault="007F5719" w:rsidP="007F571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 xml:space="preserve">For more information about Dignity Boxes, please visit our website at </w:t>
      </w:r>
      <w:hyperlink r:id="rId7" w:tgtFrame="_new" w:history="1">
        <w:r w:rsidRPr="00FB574A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www.dignityboxes.co.uk</w:t>
        </w:r>
      </w:hyperlink>
      <w:r w:rsidRPr="00FB574A">
        <w:rPr>
          <w:rFonts w:eastAsia="Times New Roman" w:cstheme="minorHAnsi"/>
          <w:sz w:val="24"/>
          <w:szCs w:val="24"/>
          <w:lang w:eastAsia="en-GB"/>
        </w:rPr>
        <w:t>.</w:t>
      </w:r>
    </w:p>
    <w:p w14:paraId="75961DB4" w14:textId="77777777" w:rsidR="007F5719" w:rsidRDefault="007F5719" w:rsidP="007F5719">
      <w:pPr>
        <w:spacing w:after="0"/>
        <w:jc w:val="both"/>
        <w:rPr>
          <w:rFonts w:cstheme="minorHAnsi"/>
          <w:sz w:val="24"/>
          <w:szCs w:val="24"/>
        </w:rPr>
      </w:pPr>
    </w:p>
    <w:p w14:paraId="2C1B380D" w14:textId="77777777" w:rsidR="007F5719" w:rsidRPr="007F5719" w:rsidRDefault="007F5719" w:rsidP="007F5719">
      <w:pPr>
        <w:spacing w:after="0"/>
        <w:jc w:val="both"/>
        <w:rPr>
          <w:rFonts w:cstheme="minorHAnsi"/>
          <w:sz w:val="24"/>
          <w:szCs w:val="24"/>
        </w:rPr>
      </w:pPr>
    </w:p>
    <w:sectPr w:rsidR="007F5719" w:rsidRPr="007F5719" w:rsidSect="008E42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F7C"/>
    <w:multiLevelType w:val="hybridMultilevel"/>
    <w:tmpl w:val="F4B454AC"/>
    <w:lvl w:ilvl="0" w:tplc="275A2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077A"/>
    <w:multiLevelType w:val="hybridMultilevel"/>
    <w:tmpl w:val="0EFAF0A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4A91"/>
    <w:multiLevelType w:val="hybridMultilevel"/>
    <w:tmpl w:val="B7527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93455"/>
    <w:multiLevelType w:val="multilevel"/>
    <w:tmpl w:val="BDF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34045"/>
    <w:multiLevelType w:val="hybridMultilevel"/>
    <w:tmpl w:val="9DAC5D0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23FC5"/>
    <w:multiLevelType w:val="hybridMultilevel"/>
    <w:tmpl w:val="63FE693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36EA5"/>
    <w:multiLevelType w:val="hybridMultilevel"/>
    <w:tmpl w:val="12C0A18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D79AB"/>
    <w:multiLevelType w:val="multilevel"/>
    <w:tmpl w:val="D224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563961"/>
    <w:multiLevelType w:val="hybridMultilevel"/>
    <w:tmpl w:val="F69418C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664A1"/>
    <w:multiLevelType w:val="hybridMultilevel"/>
    <w:tmpl w:val="90F0C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B1C27"/>
    <w:multiLevelType w:val="hybridMultilevel"/>
    <w:tmpl w:val="82AC7BD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D294B"/>
    <w:multiLevelType w:val="multilevel"/>
    <w:tmpl w:val="DF3C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897416">
    <w:abstractNumId w:val="0"/>
  </w:num>
  <w:num w:numId="2" w16cid:durableId="62487581">
    <w:abstractNumId w:val="7"/>
  </w:num>
  <w:num w:numId="3" w16cid:durableId="885144595">
    <w:abstractNumId w:val="5"/>
  </w:num>
  <w:num w:numId="4" w16cid:durableId="536238013">
    <w:abstractNumId w:val="8"/>
  </w:num>
  <w:num w:numId="5" w16cid:durableId="563222578">
    <w:abstractNumId w:val="4"/>
  </w:num>
  <w:num w:numId="6" w16cid:durableId="1461611770">
    <w:abstractNumId w:val="6"/>
  </w:num>
  <w:num w:numId="7" w16cid:durableId="1832207898">
    <w:abstractNumId w:val="1"/>
  </w:num>
  <w:num w:numId="8" w16cid:durableId="634801396">
    <w:abstractNumId w:val="2"/>
  </w:num>
  <w:num w:numId="9" w16cid:durableId="1898709210">
    <w:abstractNumId w:val="3"/>
  </w:num>
  <w:num w:numId="10" w16cid:durableId="538978322">
    <w:abstractNumId w:val="11"/>
  </w:num>
  <w:num w:numId="11" w16cid:durableId="1838231000">
    <w:abstractNumId w:val="10"/>
  </w:num>
  <w:num w:numId="12" w16cid:durableId="952828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9F"/>
    <w:rsid w:val="0000519B"/>
    <w:rsid w:val="00022AF5"/>
    <w:rsid w:val="000676B4"/>
    <w:rsid w:val="00073D93"/>
    <w:rsid w:val="00084F43"/>
    <w:rsid w:val="00090CF0"/>
    <w:rsid w:val="00093371"/>
    <w:rsid w:val="000D0F54"/>
    <w:rsid w:val="000E350B"/>
    <w:rsid w:val="00180CEC"/>
    <w:rsid w:val="001C17B0"/>
    <w:rsid w:val="001C209F"/>
    <w:rsid w:val="001D16E5"/>
    <w:rsid w:val="001D4497"/>
    <w:rsid w:val="00241DD1"/>
    <w:rsid w:val="002808DC"/>
    <w:rsid w:val="002871B6"/>
    <w:rsid w:val="00290455"/>
    <w:rsid w:val="002C3793"/>
    <w:rsid w:val="002D2D83"/>
    <w:rsid w:val="00354756"/>
    <w:rsid w:val="00393C19"/>
    <w:rsid w:val="003F0CDB"/>
    <w:rsid w:val="003F7A94"/>
    <w:rsid w:val="00431DF1"/>
    <w:rsid w:val="004975EA"/>
    <w:rsid w:val="004B795F"/>
    <w:rsid w:val="004F7F9F"/>
    <w:rsid w:val="00505C24"/>
    <w:rsid w:val="00586472"/>
    <w:rsid w:val="005A1ACB"/>
    <w:rsid w:val="005C6547"/>
    <w:rsid w:val="005F11EF"/>
    <w:rsid w:val="005F7C25"/>
    <w:rsid w:val="006132C5"/>
    <w:rsid w:val="0062776A"/>
    <w:rsid w:val="00657501"/>
    <w:rsid w:val="00691C82"/>
    <w:rsid w:val="00697232"/>
    <w:rsid w:val="006A6F66"/>
    <w:rsid w:val="006E4EB9"/>
    <w:rsid w:val="00705260"/>
    <w:rsid w:val="007F5719"/>
    <w:rsid w:val="008407DA"/>
    <w:rsid w:val="00840853"/>
    <w:rsid w:val="008439D8"/>
    <w:rsid w:val="00854E4C"/>
    <w:rsid w:val="008E4228"/>
    <w:rsid w:val="00901455"/>
    <w:rsid w:val="009A4BDB"/>
    <w:rsid w:val="009B02CC"/>
    <w:rsid w:val="009B7F37"/>
    <w:rsid w:val="009C1D52"/>
    <w:rsid w:val="009D6417"/>
    <w:rsid w:val="009F4AFD"/>
    <w:rsid w:val="00A17D1F"/>
    <w:rsid w:val="00A31572"/>
    <w:rsid w:val="00A53A25"/>
    <w:rsid w:val="00A97CCA"/>
    <w:rsid w:val="00AC3319"/>
    <w:rsid w:val="00AC6120"/>
    <w:rsid w:val="00AD3117"/>
    <w:rsid w:val="00B051A4"/>
    <w:rsid w:val="00B91D9F"/>
    <w:rsid w:val="00BF090D"/>
    <w:rsid w:val="00C173AC"/>
    <w:rsid w:val="00C74F21"/>
    <w:rsid w:val="00C80862"/>
    <w:rsid w:val="00CB622F"/>
    <w:rsid w:val="00CC17E6"/>
    <w:rsid w:val="00D052C6"/>
    <w:rsid w:val="00D27539"/>
    <w:rsid w:val="00D37234"/>
    <w:rsid w:val="00D93539"/>
    <w:rsid w:val="00DD782F"/>
    <w:rsid w:val="00E434B6"/>
    <w:rsid w:val="00E5018F"/>
    <w:rsid w:val="00E547FD"/>
    <w:rsid w:val="00E6584B"/>
    <w:rsid w:val="00EC3C49"/>
    <w:rsid w:val="00ED4534"/>
    <w:rsid w:val="00EE5C9C"/>
    <w:rsid w:val="00EE6E7E"/>
    <w:rsid w:val="00F57678"/>
    <w:rsid w:val="00F87712"/>
    <w:rsid w:val="00FC422F"/>
    <w:rsid w:val="00FD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1EAA"/>
  <w15:docId w15:val="{4A630A0A-2D7D-4504-9447-0FAFAC0A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A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904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5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gnitybox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gnityboxe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Cunningham</dc:creator>
  <cp:lastModifiedBy>Fannin, Nick</cp:lastModifiedBy>
  <cp:revision>2</cp:revision>
  <cp:lastPrinted>2021-11-02T21:22:00Z</cp:lastPrinted>
  <dcterms:created xsi:type="dcterms:W3CDTF">2025-12-27T11:02:00Z</dcterms:created>
  <dcterms:modified xsi:type="dcterms:W3CDTF">2025-12-27T11:02:00Z</dcterms:modified>
</cp:coreProperties>
</file>